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5EF" w:rsidRDefault="00FE4FDB">
      <w:r>
        <w:rPr>
          <w:noProof/>
          <w:lang w:val="en-US"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2143125" cy="71437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5EF" w:rsidRDefault="002175EF"/>
    <w:p w:rsidR="002175EF" w:rsidRDefault="002175EF"/>
    <w:p w:rsidR="002175EF" w:rsidRPr="006E049E" w:rsidRDefault="00FE4FDB">
      <w:pPr>
        <w:jc w:val="right"/>
        <w:rPr>
          <w:rStyle w:val="InternetLink"/>
          <w:b/>
        </w:rPr>
      </w:pPr>
      <w:r w:rsidRPr="006E049E">
        <w:rPr>
          <w:rStyle w:val="InternetLink"/>
          <w:b/>
        </w:rPr>
        <w:t>https://www.tradeindiaresearch.com/</w:t>
      </w:r>
    </w:p>
    <w:p w:rsidR="002175EF" w:rsidRDefault="002175EF"/>
    <w:p w:rsidR="002175EF" w:rsidRDefault="002175EF">
      <w:pPr>
        <w:shd w:val="clear" w:color="auto" w:fill="0084D1"/>
        <w:jc w:val="center"/>
        <w:rPr>
          <w:b/>
          <w:bCs/>
          <w:color w:val="0000CC"/>
          <w:sz w:val="28"/>
          <w:szCs w:val="28"/>
        </w:rPr>
      </w:pPr>
    </w:p>
    <w:p w:rsidR="002175EF" w:rsidRDefault="00FE4FDB">
      <w:pPr>
        <w:shd w:val="clear" w:color="auto" w:fill="0084D1"/>
        <w:jc w:val="center"/>
        <w:rPr>
          <w:b/>
          <w:bCs/>
          <w:color w:val="0000CC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GET FREE TRIAL CALL: +91-7415033556</w:t>
      </w:r>
      <w:r>
        <w:rPr>
          <w:b/>
          <w:bCs/>
          <w:color w:val="0000CC"/>
          <w:sz w:val="28"/>
          <w:szCs w:val="28"/>
        </w:rPr>
        <w:t xml:space="preserve"> </w:t>
      </w:r>
    </w:p>
    <w:p w:rsidR="002175EF" w:rsidRDefault="002175EF">
      <w:pPr>
        <w:shd w:val="clear" w:color="auto" w:fill="0084D1"/>
        <w:jc w:val="center"/>
        <w:rPr>
          <w:b/>
          <w:bCs/>
          <w:color w:val="0000CC"/>
          <w:sz w:val="28"/>
          <w:szCs w:val="28"/>
        </w:rPr>
      </w:pPr>
    </w:p>
    <w:p w:rsidR="002175EF" w:rsidRDefault="002175EF">
      <w:pPr>
        <w:jc w:val="center"/>
        <w:rPr>
          <w:b/>
          <w:bCs/>
          <w:color w:val="0000CC"/>
          <w:sz w:val="28"/>
          <w:szCs w:val="28"/>
        </w:rPr>
      </w:pPr>
    </w:p>
    <w:p w:rsidR="002175EF" w:rsidRDefault="00FE4FDB">
      <w:pPr>
        <w:jc w:val="center"/>
        <w:rPr>
          <w:b/>
          <w:bCs/>
          <w:color w:val="993366"/>
          <w:sz w:val="28"/>
          <w:szCs w:val="28"/>
        </w:rPr>
      </w:pPr>
      <w:r>
        <w:rPr>
          <w:b/>
          <w:bCs/>
          <w:color w:val="993366"/>
          <w:sz w:val="28"/>
          <w:szCs w:val="28"/>
        </w:rPr>
        <w:t>Find a place inside where there's joy, and the joy will burn out the pain.</w:t>
      </w:r>
    </w:p>
    <w:p w:rsidR="002175EF" w:rsidRDefault="002175EF">
      <w:pPr>
        <w:jc w:val="center"/>
        <w:rPr>
          <w:b/>
          <w:bCs/>
          <w:color w:val="993366"/>
          <w:sz w:val="28"/>
          <w:szCs w:val="28"/>
        </w:rPr>
      </w:pPr>
    </w:p>
    <w:p w:rsidR="002175EF" w:rsidRDefault="00FE4FDB">
      <w:pPr>
        <w:jc w:val="center"/>
        <w:rPr>
          <w:b/>
          <w:bCs/>
          <w:color w:val="C5000B"/>
          <w:sz w:val="28"/>
          <w:szCs w:val="28"/>
          <w:u w:val="single"/>
        </w:rPr>
      </w:pPr>
      <w:r>
        <w:rPr>
          <w:b/>
          <w:bCs/>
          <w:color w:val="C5000B"/>
          <w:sz w:val="28"/>
          <w:szCs w:val="28"/>
          <w:u w:val="single"/>
        </w:rPr>
        <w:t>Today</w:t>
      </w:r>
      <w:r w:rsidR="007A2A98">
        <w:rPr>
          <w:b/>
          <w:bCs/>
          <w:color w:val="C5000B"/>
          <w:sz w:val="28"/>
          <w:szCs w:val="28"/>
          <w:u w:val="single"/>
        </w:rPr>
        <w:t>’s</w:t>
      </w:r>
      <w:r>
        <w:rPr>
          <w:b/>
          <w:bCs/>
          <w:color w:val="C5000B"/>
          <w:sz w:val="28"/>
          <w:szCs w:val="28"/>
          <w:u w:val="single"/>
        </w:rPr>
        <w:t xml:space="preserve"> Market News</w:t>
      </w:r>
    </w:p>
    <w:p w:rsidR="002175EF" w:rsidRDefault="002175EF">
      <w:pPr>
        <w:jc w:val="center"/>
        <w:rPr>
          <w:b/>
          <w:bCs/>
          <w:color w:val="C5000B"/>
          <w:sz w:val="28"/>
          <w:szCs w:val="28"/>
        </w:rPr>
      </w:pPr>
    </w:p>
    <w:p w:rsidR="004B1A0C" w:rsidRDefault="004B1A0C" w:rsidP="004B1A0C">
      <w:pPr>
        <w:shd w:val="clear" w:color="auto" w:fill="FFFFFF"/>
        <w:spacing w:after="240"/>
        <w:rPr>
          <w:rFonts w:ascii="Times New Roman" w:eastAsia="Times New Roman" w:hAnsi="Times New Roman" w:cs="Times New Roman"/>
          <w:b/>
          <w:bCs/>
          <w:color w:val="002060"/>
          <w:kern w:val="36"/>
          <w:sz w:val="48"/>
          <w:szCs w:val="48"/>
          <w:lang w:val="en-US" w:eastAsia="en-US" w:bidi="ar-SA"/>
        </w:rPr>
      </w:pPr>
      <w:r w:rsidRPr="004B1A0C">
        <w:rPr>
          <w:rFonts w:ascii="Times New Roman" w:eastAsia="Times New Roman" w:hAnsi="Times New Roman" w:cs="Times New Roman"/>
          <w:b/>
          <w:bCs/>
          <w:color w:val="002060"/>
          <w:kern w:val="36"/>
          <w:sz w:val="48"/>
          <w:szCs w:val="48"/>
          <w:lang w:val="en-US" w:eastAsia="en-US" w:bidi="ar-SA"/>
        </w:rPr>
        <w:t>Yesterday's fall has 'cleansed' market for October: Analyst</w:t>
      </w:r>
    </w:p>
    <w:p w:rsidR="00BE5388" w:rsidRDefault="004B1A0C" w:rsidP="004B1A0C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b/>
          <w:bCs/>
          <w:color w:val="F79646" w:themeColor="accent6"/>
          <w:kern w:val="36"/>
          <w:lang w:val="en-US" w:eastAsia="en-US" w:bidi="ar-SA"/>
        </w:rPr>
      </w:pPr>
      <w:r w:rsidRPr="004B1A0C">
        <w:rPr>
          <w:rFonts w:ascii="Times New Roman" w:eastAsia="Times New Roman" w:hAnsi="Times New Roman" w:cs="Times New Roman"/>
          <w:b/>
          <w:bCs/>
          <w:color w:val="F79646" w:themeColor="accent6"/>
          <w:kern w:val="36"/>
          <w:lang w:val="en-US" w:eastAsia="en-US" w:bidi="ar-SA"/>
        </w:rPr>
        <w:t xml:space="preserve">The volatility witnessed in the market yesterday, after geopolitical concerns and worries of rising macro-economic instability, led to some "cleansing" in market sentiment and will help it start afresh in October, says </w:t>
      </w:r>
      <w:proofErr w:type="spellStart"/>
      <w:r w:rsidRPr="004B1A0C">
        <w:rPr>
          <w:rFonts w:ascii="Times New Roman" w:eastAsia="Times New Roman" w:hAnsi="Times New Roman" w:cs="Times New Roman"/>
          <w:b/>
          <w:bCs/>
          <w:color w:val="F79646" w:themeColor="accent6"/>
          <w:kern w:val="36"/>
          <w:lang w:val="en-US" w:eastAsia="en-US" w:bidi="ar-SA"/>
        </w:rPr>
        <w:t>Tushar</w:t>
      </w:r>
      <w:proofErr w:type="spellEnd"/>
      <w:r w:rsidRPr="004B1A0C">
        <w:rPr>
          <w:rFonts w:ascii="Times New Roman" w:eastAsia="Times New Roman" w:hAnsi="Times New Roman" w:cs="Times New Roman"/>
          <w:b/>
          <w:bCs/>
          <w:color w:val="F79646" w:themeColor="accent6"/>
          <w:kern w:val="36"/>
          <w:lang w:val="en-US" w:eastAsia="en-US" w:bidi="ar-SA"/>
        </w:rPr>
        <w:t xml:space="preserve"> </w:t>
      </w:r>
      <w:proofErr w:type="spellStart"/>
      <w:r w:rsidRPr="004B1A0C">
        <w:rPr>
          <w:rFonts w:ascii="Times New Roman" w:eastAsia="Times New Roman" w:hAnsi="Times New Roman" w:cs="Times New Roman"/>
          <w:b/>
          <w:bCs/>
          <w:color w:val="F79646" w:themeColor="accent6"/>
          <w:kern w:val="36"/>
          <w:lang w:val="en-US" w:eastAsia="en-US" w:bidi="ar-SA"/>
        </w:rPr>
        <w:t>Mahajan</w:t>
      </w:r>
      <w:proofErr w:type="spellEnd"/>
      <w:r w:rsidRPr="004B1A0C">
        <w:rPr>
          <w:rFonts w:ascii="Times New Roman" w:eastAsia="Times New Roman" w:hAnsi="Times New Roman" w:cs="Times New Roman"/>
          <w:b/>
          <w:bCs/>
          <w:color w:val="F79646" w:themeColor="accent6"/>
          <w:kern w:val="36"/>
          <w:lang w:val="en-US" w:eastAsia="en-US" w:bidi="ar-SA"/>
        </w:rPr>
        <w:t>, Head of Listed Futures &amp; Options - India, Nomura.</w:t>
      </w:r>
    </w:p>
    <w:p w:rsidR="00CD748A" w:rsidRPr="00CD748A" w:rsidRDefault="00E72649" w:rsidP="00CD748A">
      <w:pPr>
        <w:shd w:val="clear" w:color="auto" w:fill="FFFFFF"/>
        <w:spacing w:after="240"/>
        <w:jc w:val="center"/>
        <w:rPr>
          <w:b/>
        </w:rPr>
      </w:pPr>
      <w:r>
        <w:rPr>
          <w:b/>
          <w:noProof/>
          <w:lang w:val="en-US" w:eastAsia="en-US" w:bidi="ar-SA"/>
        </w:rPr>
        <w:drawing>
          <wp:inline distT="0" distB="0" distL="0" distR="0">
            <wp:extent cx="5998008" cy="2100105"/>
            <wp:effectExtent l="19050" t="0" r="2742" b="0"/>
            <wp:docPr id="2" name="Picture 1" descr="OfBearsAndBu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BearsAndBull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5760" cy="211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649" w:rsidRPr="00E72649" w:rsidRDefault="00E72649" w:rsidP="00E72649">
      <w:pPr>
        <w:shd w:val="clear" w:color="auto" w:fill="FFFFFF"/>
        <w:spacing w:after="240"/>
        <w:jc w:val="both"/>
        <w:rPr>
          <w:b/>
        </w:rPr>
      </w:pPr>
      <w:r w:rsidRPr="00E72649">
        <w:rPr>
          <w:b/>
        </w:rPr>
        <w:t xml:space="preserve">The volatility witnessed in the market yesterday, after geopolitical concerns and worries of rising macro-economic instability, led to some "cleansing" in market sentiment and will help it start afresh in October, says </w:t>
      </w:r>
      <w:proofErr w:type="spellStart"/>
      <w:r w:rsidRPr="00E72649">
        <w:rPr>
          <w:b/>
        </w:rPr>
        <w:t>Tushar</w:t>
      </w:r>
      <w:proofErr w:type="spellEnd"/>
      <w:r w:rsidRPr="00E72649">
        <w:rPr>
          <w:b/>
        </w:rPr>
        <w:t xml:space="preserve"> </w:t>
      </w:r>
      <w:proofErr w:type="spellStart"/>
      <w:r w:rsidRPr="00E72649">
        <w:rPr>
          <w:b/>
        </w:rPr>
        <w:t>Mahajan</w:t>
      </w:r>
      <w:proofErr w:type="spellEnd"/>
      <w:r w:rsidRPr="00E72649">
        <w:rPr>
          <w:b/>
        </w:rPr>
        <w:t>, Head of Listed Futures &amp; Options - India, Nomura.</w:t>
      </w:r>
    </w:p>
    <w:p w:rsidR="00E72649" w:rsidRPr="00E72649" w:rsidRDefault="00E72649" w:rsidP="00E72649">
      <w:pPr>
        <w:shd w:val="clear" w:color="auto" w:fill="FFFFFF"/>
        <w:spacing w:after="240"/>
        <w:jc w:val="both"/>
        <w:rPr>
          <w:b/>
        </w:rPr>
      </w:pPr>
      <w:r w:rsidRPr="00E72649">
        <w:rPr>
          <w:b/>
        </w:rPr>
        <w:t xml:space="preserve"> "The complacency that had set in has got out and we have started a new series on a healthier note with the open interest down to the lowest level in two-and-half months. The capacity to absorb negative surprised from set up perspective in October series is much better than,” he said.</w:t>
      </w:r>
    </w:p>
    <w:p w:rsidR="00E72649" w:rsidRPr="00E72649" w:rsidRDefault="00E72649" w:rsidP="00E72649">
      <w:pPr>
        <w:shd w:val="clear" w:color="auto" w:fill="FFFFFF"/>
        <w:spacing w:after="240"/>
        <w:jc w:val="both"/>
        <w:rPr>
          <w:b/>
        </w:rPr>
      </w:pPr>
      <w:r w:rsidRPr="00E72649">
        <w:rPr>
          <w:b/>
        </w:rPr>
        <w:t xml:space="preserve"> For the October series, the </w:t>
      </w:r>
      <w:proofErr w:type="spellStart"/>
      <w:r w:rsidRPr="00E72649">
        <w:rPr>
          <w:b/>
        </w:rPr>
        <w:t>upmove</w:t>
      </w:r>
      <w:proofErr w:type="spellEnd"/>
      <w:r w:rsidRPr="00E72649">
        <w:rPr>
          <w:b/>
        </w:rPr>
        <w:t xml:space="preserve"> for the Nifty is capped at 8,800 and while the floor for a </w:t>
      </w:r>
      <w:proofErr w:type="spellStart"/>
      <w:r w:rsidRPr="00E72649">
        <w:rPr>
          <w:b/>
        </w:rPr>
        <w:t>downmove</w:t>
      </w:r>
      <w:proofErr w:type="spellEnd"/>
      <w:r w:rsidRPr="00E72649">
        <w:rPr>
          <w:b/>
        </w:rPr>
        <w:t xml:space="preserve"> is at 8,400, according to </w:t>
      </w:r>
      <w:proofErr w:type="spellStart"/>
      <w:r w:rsidRPr="00E72649">
        <w:rPr>
          <w:b/>
        </w:rPr>
        <w:t>Mahajan</w:t>
      </w:r>
      <w:proofErr w:type="spellEnd"/>
      <w:r w:rsidRPr="00E72649">
        <w:rPr>
          <w:b/>
        </w:rPr>
        <w:t>.</w:t>
      </w:r>
    </w:p>
    <w:p w:rsidR="00CD748A" w:rsidRDefault="00E72649" w:rsidP="00E72649">
      <w:pPr>
        <w:shd w:val="clear" w:color="auto" w:fill="FFFFFF"/>
        <w:spacing w:after="240"/>
        <w:jc w:val="both"/>
        <w:rPr>
          <w:b/>
        </w:rPr>
      </w:pPr>
      <w:r w:rsidRPr="00E72649">
        <w:rPr>
          <w:b/>
        </w:rPr>
        <w:t xml:space="preserve"> Below is the verbatim transcript of </w:t>
      </w:r>
      <w:proofErr w:type="spellStart"/>
      <w:r w:rsidRPr="00E72649">
        <w:rPr>
          <w:b/>
        </w:rPr>
        <w:t>Tushar</w:t>
      </w:r>
      <w:proofErr w:type="spellEnd"/>
      <w:r w:rsidRPr="00E72649">
        <w:rPr>
          <w:b/>
        </w:rPr>
        <w:t xml:space="preserve"> </w:t>
      </w:r>
      <w:proofErr w:type="spellStart"/>
      <w:r w:rsidRPr="00E72649">
        <w:rPr>
          <w:b/>
        </w:rPr>
        <w:t>Mahajan’s</w:t>
      </w:r>
      <w:proofErr w:type="spellEnd"/>
      <w:r w:rsidRPr="00E72649">
        <w:rPr>
          <w:b/>
        </w:rPr>
        <w:t xml:space="preserve"> interview to </w:t>
      </w:r>
      <w:proofErr w:type="spellStart"/>
      <w:r w:rsidRPr="00E72649">
        <w:rPr>
          <w:b/>
        </w:rPr>
        <w:t>Anuj</w:t>
      </w:r>
      <w:proofErr w:type="spellEnd"/>
      <w:r w:rsidRPr="00E72649">
        <w:rPr>
          <w:b/>
        </w:rPr>
        <w:t xml:space="preserve"> </w:t>
      </w:r>
      <w:proofErr w:type="spellStart"/>
      <w:r w:rsidRPr="00E72649">
        <w:rPr>
          <w:b/>
        </w:rPr>
        <w:t>Singhal</w:t>
      </w:r>
      <w:proofErr w:type="spellEnd"/>
      <w:r w:rsidRPr="00E72649">
        <w:rPr>
          <w:b/>
        </w:rPr>
        <w:t xml:space="preserve"> and </w:t>
      </w:r>
      <w:proofErr w:type="spellStart"/>
      <w:r w:rsidRPr="00E72649">
        <w:rPr>
          <w:b/>
        </w:rPr>
        <w:t>Latha</w:t>
      </w:r>
      <w:proofErr w:type="spellEnd"/>
      <w:r w:rsidRPr="00E72649">
        <w:rPr>
          <w:b/>
        </w:rPr>
        <w:t xml:space="preserve"> </w:t>
      </w:r>
      <w:proofErr w:type="spellStart"/>
      <w:r w:rsidRPr="00E72649">
        <w:rPr>
          <w:b/>
        </w:rPr>
        <w:t>Venkatesh</w:t>
      </w:r>
      <w:proofErr w:type="spellEnd"/>
      <w:r w:rsidRPr="00E72649">
        <w:rPr>
          <w:b/>
        </w:rPr>
        <w:t xml:space="preserve"> on CNBC-TV18.</w:t>
      </w:r>
    </w:p>
    <w:p w:rsidR="00E72649" w:rsidRDefault="00E72649">
      <w:pPr>
        <w:jc w:val="center"/>
        <w:rPr>
          <w:b/>
          <w:bCs/>
          <w:color w:val="2C001E"/>
          <w:sz w:val="26"/>
          <w:szCs w:val="26"/>
        </w:rPr>
      </w:pP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lastRenderedPageBreak/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4292600</wp:posOffset>
            </wp:positionH>
            <wp:positionV relativeFrom="paragraph">
              <wp:posOffset>-479425</wp:posOffset>
            </wp:positionV>
            <wp:extent cx="2141220" cy="713105"/>
            <wp:effectExtent l="19050" t="0" r="0" b="0"/>
            <wp:wrapSquare wrapText="largest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649" w:rsidRDefault="00E72649">
      <w:pPr>
        <w:jc w:val="center"/>
        <w:rPr>
          <w:b/>
          <w:bCs/>
          <w:color w:val="2C001E"/>
          <w:sz w:val="26"/>
          <w:szCs w:val="26"/>
        </w:rPr>
      </w:pPr>
    </w:p>
    <w:p w:rsidR="002175EF" w:rsidRDefault="002175EF">
      <w:pPr>
        <w:jc w:val="center"/>
        <w:rPr>
          <w:b/>
          <w:bCs/>
          <w:color w:val="2C001E"/>
          <w:sz w:val="26"/>
          <w:szCs w:val="26"/>
        </w:rPr>
      </w:pPr>
    </w:p>
    <w:p w:rsidR="00E72649" w:rsidRDefault="00E72649" w:rsidP="00E72649">
      <w:pPr>
        <w:jc w:val="center"/>
        <w:rPr>
          <w:b/>
          <w:bCs/>
          <w:color w:val="2C001E"/>
          <w:sz w:val="26"/>
          <w:szCs w:val="26"/>
        </w:rPr>
      </w:pPr>
      <w:proofErr w:type="spellStart"/>
      <w:r w:rsidRPr="00E72649">
        <w:rPr>
          <w:b/>
          <w:bCs/>
          <w:color w:val="2C001E"/>
          <w:sz w:val="26"/>
          <w:szCs w:val="26"/>
        </w:rPr>
        <w:t>Anuj</w:t>
      </w:r>
      <w:proofErr w:type="spellEnd"/>
      <w:r>
        <w:rPr>
          <w:b/>
          <w:bCs/>
          <w:color w:val="2C001E"/>
          <w:sz w:val="26"/>
          <w:szCs w:val="26"/>
        </w:rPr>
        <w:t xml:space="preserve"> Q</w:t>
      </w:r>
      <w:r w:rsidRPr="00E72649">
        <w:rPr>
          <w:b/>
          <w:bCs/>
          <w:color w:val="2C001E"/>
          <w:sz w:val="26"/>
          <w:szCs w:val="26"/>
        </w:rPr>
        <w:t xml:space="preserve">: What a treacherous end to the series yesterday for the markets of course. How </w:t>
      </w:r>
      <w:r>
        <w:rPr>
          <w:b/>
          <w:bCs/>
          <w:color w:val="2C001E"/>
          <w:sz w:val="26"/>
          <w:szCs w:val="26"/>
        </w:rPr>
        <w:t xml:space="preserve">  </w:t>
      </w:r>
      <w:r w:rsidRPr="00E72649">
        <w:rPr>
          <w:b/>
          <w:bCs/>
          <w:color w:val="2C001E"/>
          <w:sz w:val="26"/>
          <w:szCs w:val="26"/>
        </w:rPr>
        <w:t>are things shaping up for October series now?</w:t>
      </w:r>
    </w:p>
    <w:p w:rsidR="00E72649" w:rsidRPr="00E72649" w:rsidRDefault="00E72649" w:rsidP="00E72649">
      <w:pPr>
        <w:jc w:val="center"/>
        <w:rPr>
          <w:b/>
          <w:bCs/>
          <w:color w:val="2C001E"/>
          <w:sz w:val="26"/>
          <w:szCs w:val="26"/>
        </w:rPr>
      </w:pPr>
    </w:p>
    <w:p w:rsidR="00E72649" w:rsidRPr="00E72649" w:rsidRDefault="00E72649" w:rsidP="00E72649">
      <w:pPr>
        <w:jc w:val="both"/>
        <w:rPr>
          <w:b/>
          <w:bCs/>
          <w:color w:val="2C001E"/>
          <w:sz w:val="26"/>
          <w:szCs w:val="26"/>
        </w:rPr>
      </w:pPr>
      <w:r w:rsidRPr="00E72649">
        <w:rPr>
          <w:b/>
          <w:bCs/>
          <w:color w:val="2C001E"/>
          <w:sz w:val="26"/>
          <w:szCs w:val="26"/>
        </w:rPr>
        <w:t xml:space="preserve"> </w:t>
      </w:r>
      <w:proofErr w:type="spellStart"/>
      <w:r w:rsidRPr="00E72649">
        <w:rPr>
          <w:b/>
          <w:bCs/>
          <w:color w:val="2C001E"/>
          <w:sz w:val="26"/>
          <w:szCs w:val="26"/>
        </w:rPr>
        <w:t>A</w:t>
      </w:r>
      <w:r>
        <w:rPr>
          <w:b/>
          <w:bCs/>
          <w:color w:val="2C001E"/>
          <w:sz w:val="26"/>
          <w:szCs w:val="26"/>
        </w:rPr>
        <w:t>ns</w:t>
      </w:r>
      <w:proofErr w:type="spellEnd"/>
      <w:r w:rsidRPr="00E72649">
        <w:rPr>
          <w:b/>
          <w:bCs/>
          <w:color w:val="2C001E"/>
          <w:sz w:val="26"/>
          <w:szCs w:val="26"/>
        </w:rPr>
        <w:t xml:space="preserve">: Whole bunch of things added to the volatility yesterday -- obviously, the surgical strikes around the line of control (LOC) and also the futures expiry. In some sense probably this kind of a cleansing from a market perspective was needed. I am not saying on military action but just the action in the markets because over the last three months, we have seen a continuous </w:t>
      </w:r>
      <w:proofErr w:type="spellStart"/>
      <w:r w:rsidRPr="00E72649">
        <w:rPr>
          <w:b/>
          <w:bCs/>
          <w:color w:val="2C001E"/>
          <w:sz w:val="26"/>
          <w:szCs w:val="26"/>
        </w:rPr>
        <w:t>upmove</w:t>
      </w:r>
      <w:proofErr w:type="spellEnd"/>
      <w:r w:rsidRPr="00E72649">
        <w:rPr>
          <w:b/>
          <w:bCs/>
          <w:color w:val="2C001E"/>
          <w:sz w:val="26"/>
          <w:szCs w:val="26"/>
        </w:rPr>
        <w:t xml:space="preserve"> in the market with very limited moves around </w:t>
      </w:r>
      <w:proofErr w:type="gramStart"/>
      <w:r w:rsidRPr="00E72649">
        <w:rPr>
          <w:b/>
          <w:bCs/>
          <w:color w:val="2C001E"/>
          <w:sz w:val="26"/>
          <w:szCs w:val="26"/>
        </w:rPr>
        <w:t>these</w:t>
      </w:r>
      <w:proofErr w:type="gramEnd"/>
      <w:r w:rsidRPr="00E72649">
        <w:rPr>
          <w:b/>
          <w:bCs/>
          <w:color w:val="2C001E"/>
          <w:sz w:val="26"/>
          <w:szCs w:val="26"/>
        </w:rPr>
        <w:t xml:space="preserve"> kind of magnitude.</w:t>
      </w:r>
    </w:p>
    <w:p w:rsidR="00E72649" w:rsidRPr="00E72649" w:rsidRDefault="00E72649" w:rsidP="00E72649">
      <w:pPr>
        <w:jc w:val="both"/>
        <w:rPr>
          <w:b/>
          <w:bCs/>
          <w:color w:val="2C001E"/>
          <w:sz w:val="26"/>
          <w:szCs w:val="26"/>
        </w:rPr>
      </w:pPr>
      <w:r w:rsidRPr="00E72649">
        <w:rPr>
          <w:b/>
          <w:bCs/>
          <w:color w:val="2C001E"/>
          <w:sz w:val="26"/>
          <w:szCs w:val="26"/>
        </w:rPr>
        <w:t xml:space="preserve">    So, what yesterday along with the futures expiry achieved was we saw a fairly large amount of the open interest (OI) either getting expired or people unwinding a lot of the longs. So, the kind of complacency, which had set in that got out and we are starting the fresh series on a much healthier note from an overall set up perspective with open interest probably down to the lowest levels in about 2-2.5 months. It may still be high from an absolute base but relative to what we were seeing in the last 2-3 months. So, the capacity to absorb negative surprises now is from a set up perspective in the October series is definitely much better at this point in time than what it has been since July so far.</w:t>
      </w:r>
    </w:p>
    <w:p w:rsidR="00E72649" w:rsidRDefault="00E72649">
      <w:pPr>
        <w:jc w:val="center"/>
        <w:rPr>
          <w:b/>
          <w:bCs/>
          <w:color w:val="2C001E"/>
          <w:sz w:val="26"/>
          <w:szCs w:val="26"/>
        </w:rPr>
      </w:pP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1259840</wp:posOffset>
            </wp:positionH>
            <wp:positionV relativeFrom="paragraph">
              <wp:align>top</wp:align>
            </wp:positionV>
            <wp:extent cx="1015365" cy="1053465"/>
            <wp:effectExtent l="0" t="0" r="0" b="0"/>
            <wp:wrapSquare wrapText="largest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05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align>top</wp:align>
            </wp:positionV>
            <wp:extent cx="1213485" cy="1062990"/>
            <wp:effectExtent l="0" t="0" r="0" b="0"/>
            <wp:wrapSquare wrapText="largest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5863590</wp:posOffset>
            </wp:positionH>
            <wp:positionV relativeFrom="paragraph">
              <wp:posOffset>1546860</wp:posOffset>
            </wp:positionV>
            <wp:extent cx="507365" cy="507365"/>
            <wp:effectExtent l="19050" t="0" r="6985" b="0"/>
            <wp:wrapSquare wrapText="largest"/>
            <wp:docPr id="7" name="Pict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5863590</wp:posOffset>
            </wp:positionH>
            <wp:positionV relativeFrom="paragraph">
              <wp:posOffset>2185670</wp:posOffset>
            </wp:positionV>
            <wp:extent cx="507365" cy="507365"/>
            <wp:effectExtent l="19050" t="0" r="6985" b="0"/>
            <wp:wrapSquare wrapText="largest"/>
            <wp:docPr id="9" name="Pict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column">
              <wp:posOffset>5849620</wp:posOffset>
            </wp:positionH>
            <wp:positionV relativeFrom="paragraph">
              <wp:posOffset>898525</wp:posOffset>
            </wp:positionV>
            <wp:extent cx="507365" cy="507365"/>
            <wp:effectExtent l="19050" t="0" r="6985" b="0"/>
            <wp:wrapSquare wrapText="largest"/>
            <wp:docPr id="10" name="Pictur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9" behindDoc="0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118745</wp:posOffset>
            </wp:positionV>
            <wp:extent cx="586105" cy="543560"/>
            <wp:effectExtent l="0" t="0" r="0" b="0"/>
            <wp:wrapSquare wrapText="largest"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color w:val="2C001E"/>
          <w:sz w:val="26"/>
          <w:szCs w:val="26"/>
        </w:rPr>
        <w:t xml:space="preserve">   </w:t>
      </w:r>
      <w:proofErr w:type="spellStart"/>
      <w:r>
        <w:rPr>
          <w:b/>
          <w:bCs/>
          <w:color w:val="2C001E"/>
          <w:sz w:val="26"/>
          <w:szCs w:val="26"/>
        </w:rPr>
        <w:t>TradeIndia</w:t>
      </w:r>
      <w:proofErr w:type="spellEnd"/>
      <w:r>
        <w:rPr>
          <w:b/>
          <w:bCs/>
          <w:color w:val="2C001E"/>
          <w:sz w:val="26"/>
          <w:szCs w:val="26"/>
        </w:rPr>
        <w:t xml:space="preserve"> Research, 301/ 3rd Floor </w:t>
      </w:r>
      <w:proofErr w:type="spellStart"/>
      <w:r>
        <w:rPr>
          <w:b/>
          <w:bCs/>
          <w:color w:val="2C001E"/>
          <w:sz w:val="26"/>
          <w:szCs w:val="26"/>
        </w:rPr>
        <w:t>Mangal</w:t>
      </w:r>
      <w:proofErr w:type="spellEnd"/>
      <w:r>
        <w:rPr>
          <w:b/>
          <w:bCs/>
          <w:color w:val="2C001E"/>
          <w:sz w:val="26"/>
          <w:szCs w:val="26"/>
        </w:rPr>
        <w:t xml:space="preserve"> City Vijay Nagar Indore, </w:t>
      </w: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color w:val="2C001E"/>
          <w:sz w:val="26"/>
          <w:szCs w:val="26"/>
        </w:rPr>
        <w:t xml:space="preserve">   </w:t>
      </w:r>
      <w:proofErr w:type="gramStart"/>
      <w:r>
        <w:rPr>
          <w:b/>
          <w:bCs/>
          <w:color w:val="2C001E"/>
          <w:sz w:val="26"/>
          <w:szCs w:val="26"/>
        </w:rPr>
        <w:t>Indore-452001, M.P. India.</w:t>
      </w:r>
      <w:proofErr w:type="gramEnd"/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color w:val="2C001E"/>
          <w:sz w:val="26"/>
          <w:szCs w:val="26"/>
        </w:rPr>
        <w:t xml:space="preserve">    </w:t>
      </w: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8" behindDoc="0" locked="0" layoutInCell="1" allowOverlap="1">
            <wp:simplePos x="0" y="0"/>
            <wp:positionH relativeFrom="column">
              <wp:posOffset>-528955</wp:posOffset>
            </wp:positionH>
            <wp:positionV relativeFrom="paragraph">
              <wp:posOffset>77470</wp:posOffset>
            </wp:positionV>
            <wp:extent cx="586740" cy="580390"/>
            <wp:effectExtent l="0" t="0" r="0" b="0"/>
            <wp:wrapSquare wrapText="largest"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color w:val="2C001E"/>
          <w:sz w:val="26"/>
          <w:szCs w:val="26"/>
        </w:rPr>
        <w:t xml:space="preserve">  9039060255 | 0731-6693644/844</w:t>
      </w:r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noProof/>
          <w:color w:val="2C001E"/>
          <w:sz w:val="26"/>
          <w:szCs w:val="26"/>
          <w:lang w:val="en-US" w:eastAsia="en-US" w:bidi="ar-SA"/>
        </w:rPr>
        <w:drawing>
          <wp:anchor distT="0" distB="0" distL="0" distR="0" simplePos="0" relativeHeight="7" behindDoc="0" locked="0" layoutInCell="1" allowOverlap="1">
            <wp:simplePos x="0" y="0"/>
            <wp:positionH relativeFrom="column">
              <wp:posOffset>-529590</wp:posOffset>
            </wp:positionH>
            <wp:positionV relativeFrom="paragraph">
              <wp:posOffset>177165</wp:posOffset>
            </wp:positionV>
            <wp:extent cx="617220" cy="637540"/>
            <wp:effectExtent l="0" t="0" r="0" b="0"/>
            <wp:wrapSquare wrapText="largest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5EF" w:rsidRDefault="00FE4FDB">
      <w:pPr>
        <w:jc w:val="both"/>
        <w:rPr>
          <w:b/>
          <w:bCs/>
          <w:color w:val="2C001E"/>
          <w:sz w:val="26"/>
          <w:szCs w:val="26"/>
        </w:rPr>
      </w:pPr>
      <w:r>
        <w:rPr>
          <w:b/>
          <w:bCs/>
          <w:color w:val="2C001E"/>
          <w:sz w:val="26"/>
          <w:szCs w:val="26"/>
        </w:rPr>
        <w:t xml:space="preserve">    compliance@tradeindiaresearch.com </w:t>
      </w:r>
    </w:p>
    <w:p w:rsidR="002175EF" w:rsidRDefault="00FE4FDB">
      <w:pPr>
        <w:jc w:val="both"/>
        <w:rPr>
          <w:rStyle w:val="InternetLink"/>
          <w:b/>
          <w:bCs/>
          <w:color w:val="2C001E"/>
          <w:sz w:val="26"/>
          <w:szCs w:val="26"/>
        </w:rPr>
      </w:pPr>
      <w:r>
        <w:rPr>
          <w:b/>
          <w:bCs/>
          <w:color w:val="2C001E"/>
          <w:sz w:val="26"/>
          <w:szCs w:val="26"/>
        </w:rPr>
        <w:t xml:space="preserve">    </w:t>
      </w:r>
      <w:hyperlink r:id="rId17">
        <w:r>
          <w:rPr>
            <w:rStyle w:val="InternetLink"/>
            <w:b/>
            <w:bCs/>
            <w:color w:val="2C001E"/>
            <w:sz w:val="26"/>
            <w:szCs w:val="26"/>
          </w:rPr>
          <w:t>info@tradeindiaresearch.com</w:t>
        </w:r>
      </w:hyperlink>
    </w:p>
    <w:p w:rsidR="002175EF" w:rsidRDefault="00FE4FDB">
      <w:pPr>
        <w:jc w:val="both"/>
        <w:rPr>
          <w:rStyle w:val="InternetLink"/>
          <w:b/>
          <w:bCs/>
          <w:color w:val="2C001E"/>
          <w:sz w:val="26"/>
          <w:szCs w:val="26"/>
        </w:rPr>
      </w:pPr>
      <w:r>
        <w:rPr>
          <w:b/>
          <w:bCs/>
          <w:color w:val="2C001E"/>
          <w:sz w:val="26"/>
          <w:szCs w:val="26"/>
        </w:rPr>
        <w:t xml:space="preserve">    </w:t>
      </w:r>
      <w:hyperlink r:id="rId18">
        <w:r>
          <w:rPr>
            <w:rStyle w:val="InternetLink"/>
            <w:b/>
            <w:bCs/>
            <w:color w:val="2C001E"/>
            <w:sz w:val="26"/>
            <w:szCs w:val="26"/>
          </w:rPr>
          <w:t>support@tradeindiaresearch.com</w:t>
        </w:r>
      </w:hyperlink>
    </w:p>
    <w:p w:rsidR="002175EF" w:rsidRDefault="002175EF">
      <w:pPr>
        <w:jc w:val="both"/>
        <w:rPr>
          <w:b/>
          <w:bCs/>
          <w:color w:val="2C001E"/>
          <w:sz w:val="26"/>
          <w:szCs w:val="26"/>
        </w:rPr>
      </w:pPr>
    </w:p>
    <w:p w:rsidR="002175EF" w:rsidRDefault="00D519AC">
      <w:pPr>
        <w:jc w:val="right"/>
        <w:rPr>
          <w:rStyle w:val="InternetLink"/>
          <w:b/>
          <w:bCs/>
          <w:color w:val="2C001E"/>
          <w:sz w:val="26"/>
          <w:szCs w:val="26"/>
        </w:rPr>
      </w:pPr>
      <w:hyperlink r:id="rId19">
        <w:r w:rsidR="00FE4FDB">
          <w:rPr>
            <w:rStyle w:val="InternetLink"/>
            <w:b/>
            <w:bCs/>
            <w:color w:val="2C001E"/>
            <w:sz w:val="26"/>
            <w:szCs w:val="26"/>
          </w:rPr>
          <w:t>https://www.tradeindiaresearch.com/</w:t>
        </w:r>
      </w:hyperlink>
    </w:p>
    <w:sectPr w:rsidR="002175EF" w:rsidSect="002175E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compat/>
  <w:rsids>
    <w:rsidRoot w:val="002175EF"/>
    <w:rsid w:val="002175EF"/>
    <w:rsid w:val="00275826"/>
    <w:rsid w:val="00431E19"/>
    <w:rsid w:val="0049675F"/>
    <w:rsid w:val="004B1A0C"/>
    <w:rsid w:val="0054377C"/>
    <w:rsid w:val="006E049E"/>
    <w:rsid w:val="007A2A98"/>
    <w:rsid w:val="009C10E9"/>
    <w:rsid w:val="00A27B99"/>
    <w:rsid w:val="00AD04A9"/>
    <w:rsid w:val="00B233D0"/>
    <w:rsid w:val="00B67933"/>
    <w:rsid w:val="00BE5388"/>
    <w:rsid w:val="00C62370"/>
    <w:rsid w:val="00CD748A"/>
    <w:rsid w:val="00D519AC"/>
    <w:rsid w:val="00E72649"/>
    <w:rsid w:val="00FE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75EF"/>
    <w:pPr>
      <w:widowControl w:val="0"/>
      <w:suppressAutoHyphens/>
    </w:pPr>
  </w:style>
  <w:style w:type="paragraph" w:styleId="Heading1">
    <w:name w:val="heading 1"/>
    <w:basedOn w:val="Normal"/>
    <w:link w:val="Heading1Char"/>
    <w:uiPriority w:val="9"/>
    <w:qFormat/>
    <w:rsid w:val="0054377C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Numbering">
    <w:name w:val="Line Numbering"/>
    <w:rsid w:val="002175EF"/>
  </w:style>
  <w:style w:type="character" w:customStyle="1" w:styleId="InternetLink">
    <w:name w:val="Internet Link"/>
    <w:rsid w:val="002175EF"/>
    <w:rPr>
      <w:color w:val="000080"/>
      <w:u w:val="single"/>
    </w:rPr>
  </w:style>
  <w:style w:type="paragraph" w:customStyle="1" w:styleId="Heading">
    <w:name w:val="Heading"/>
    <w:basedOn w:val="Normal"/>
    <w:next w:val="TextBody"/>
    <w:rsid w:val="002175EF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2175EF"/>
    <w:pPr>
      <w:spacing w:after="140" w:line="288" w:lineRule="auto"/>
    </w:pPr>
  </w:style>
  <w:style w:type="paragraph" w:styleId="List">
    <w:name w:val="List"/>
    <w:basedOn w:val="TextBody"/>
    <w:rsid w:val="002175EF"/>
  </w:style>
  <w:style w:type="paragraph" w:styleId="Caption">
    <w:name w:val="caption"/>
    <w:basedOn w:val="Normal"/>
    <w:rsid w:val="002175E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175EF"/>
    <w:pPr>
      <w:suppressLineNumbers/>
    </w:pPr>
  </w:style>
  <w:style w:type="character" w:styleId="Hyperlink">
    <w:name w:val="Hyperlink"/>
    <w:basedOn w:val="DefaultParagraphFont"/>
    <w:uiPriority w:val="99"/>
    <w:semiHidden/>
    <w:unhideWhenUsed/>
    <w:rsid w:val="00C6237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370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370"/>
    <w:rPr>
      <w:rFonts w:ascii="Tahoma" w:hAnsi="Tahoma" w:cs="Mangal"/>
      <w:sz w:val="16"/>
      <w:szCs w:val="14"/>
    </w:rPr>
  </w:style>
  <w:style w:type="character" w:customStyle="1" w:styleId="Heading1Char">
    <w:name w:val="Heading 1 Char"/>
    <w:basedOn w:val="DefaultParagraphFont"/>
    <w:link w:val="Heading1"/>
    <w:uiPriority w:val="9"/>
    <w:rsid w:val="0054377C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6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0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8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6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5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3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6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1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1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9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03563681207134328364" TargetMode="External"/><Relationship Id="rId13" Type="http://schemas.openxmlformats.org/officeDocument/2006/relationships/image" Target="media/image7.png"/><Relationship Id="rId18" Type="http://schemas.openxmlformats.org/officeDocument/2006/relationships/hyperlink" Target="mailto:support@tradeindiaresearch.co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hyperlink" Target="https://www.facebook.com/profile.php?id=100013561260323" TargetMode="External"/><Relationship Id="rId17" Type="http://schemas.openxmlformats.org/officeDocument/2006/relationships/hyperlink" Target="mailto:info@tradeindiaresearch.co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jpeg"/><Relationship Id="rId15" Type="http://schemas.openxmlformats.org/officeDocument/2006/relationships/image" Target="media/image9.png"/><Relationship Id="rId10" Type="http://schemas.openxmlformats.org/officeDocument/2006/relationships/hyperlink" Target="https://twitter.com/tradeindiarese3" TargetMode="External"/><Relationship Id="rId19" Type="http://schemas.openxmlformats.org/officeDocument/2006/relationships/hyperlink" Target="https://www.tradeindiaresearch.com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starindia </dc:creator>
  <cp:lastModifiedBy>xxxx</cp:lastModifiedBy>
  <cp:revision>9</cp:revision>
  <dcterms:created xsi:type="dcterms:W3CDTF">2016-09-19T10:40:00Z</dcterms:created>
  <dcterms:modified xsi:type="dcterms:W3CDTF">2016-09-30T08:36:00Z</dcterms:modified>
  <dc:language>en-IN</dc:language>
</cp:coreProperties>
</file>